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000000"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Content>
            <w:tc>
              <w:tcPr>
                <w:tcW w:w="2784" w:type="dxa"/>
              </w:tcPr>
              <w:p w14:paraId="124F6A2A" w14:textId="2B509304" w:rsidR="00062C87" w:rsidRPr="00987203" w:rsidRDefault="00524056" w:rsidP="00AC6117">
                <w:pPr>
                  <w:rPr>
                    <w:sz w:val="20"/>
                    <w:szCs w:val="20"/>
                  </w:rPr>
                </w:pPr>
                <w:r>
                  <w:rPr>
                    <w:sz w:val="20"/>
                    <w:szCs w:val="20"/>
                  </w:rPr>
                  <w:t>Tutor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Content>
            <w:tc>
              <w:tcPr>
                <w:tcW w:w="2693" w:type="dxa"/>
              </w:tcPr>
              <w:p w14:paraId="690B711C" w14:textId="1DA50ECB" w:rsidR="00062C87" w:rsidRPr="00987203" w:rsidRDefault="00524056" w:rsidP="00AC6117">
                <w:pPr>
                  <w:rPr>
                    <w:sz w:val="20"/>
                    <w:szCs w:val="20"/>
                  </w:rPr>
                </w:pPr>
                <w:r>
                  <w:rPr>
                    <w:sz w:val="20"/>
                    <w:szCs w:val="20"/>
                  </w:rPr>
                  <w:t>Mercury College</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77777777" w:rsidR="00062C87" w:rsidRPr="00987203" w:rsidRDefault="00000000" w:rsidP="00AC6117">
            <w:pPr>
              <w:rPr>
                <w:sz w:val="20"/>
                <w:szCs w:val="20"/>
              </w:rPr>
            </w:pPr>
            <w:sdt>
              <w:sdtPr>
                <w:rPr>
                  <w:sz w:val="20"/>
                  <w:szCs w:val="20"/>
                </w:rPr>
                <w:id w:val="2146538087"/>
                <w:placeholder>
                  <w:docPart w:val="56E2429C18AA4E6B8ACAE146750E3F88"/>
                </w:placeholder>
              </w:sdtPr>
              <w:sdtContent>
                <w:sdt>
                  <w:sdtPr>
                    <w:rPr>
                      <w:sz w:val="20"/>
                      <w:szCs w:val="20"/>
                    </w:rPr>
                    <w:id w:val="-483390606"/>
                    <w:placeholder>
                      <w:docPart w:val="17065E66D30E462289F5F1D83656D263"/>
                    </w:placeholder>
                    <w:showingPlcHdr/>
                  </w:sdtPr>
                  <w:sdtContent>
                    <w:r w:rsidR="00062C87" w:rsidRPr="00987203">
                      <w:rPr>
                        <w:rStyle w:val="PlaceholderText"/>
                        <w:sz w:val="20"/>
                        <w:szCs w:val="20"/>
                      </w:rPr>
                      <w:t>Click or tap here to enter text.</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howingPlcHdr/>
          </w:sdtPr>
          <w:sdtContent>
            <w:tc>
              <w:tcPr>
                <w:tcW w:w="2693" w:type="dxa"/>
              </w:tcPr>
              <w:p w14:paraId="35216AB9" w14:textId="77777777" w:rsidR="00062C87" w:rsidRPr="00987203" w:rsidRDefault="00062C87" w:rsidP="00AC6117">
                <w:pPr>
                  <w:rPr>
                    <w:sz w:val="20"/>
                    <w:szCs w:val="20"/>
                  </w:rPr>
                </w:pPr>
                <w:r w:rsidRPr="00987203">
                  <w:rPr>
                    <w:rStyle w:val="PlaceholderText"/>
                    <w:sz w:val="20"/>
                    <w:szCs w:val="20"/>
                  </w:rPr>
                  <w:t>Click or tap here to enter text.</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77777777" w:rsidR="00062C87" w:rsidRPr="00987203" w:rsidRDefault="00000000" w:rsidP="00AC6117">
            <w:pPr>
              <w:rPr>
                <w:sz w:val="20"/>
                <w:szCs w:val="20"/>
              </w:rPr>
            </w:pPr>
            <w:sdt>
              <w:sdtPr>
                <w:rPr>
                  <w:sz w:val="20"/>
                  <w:szCs w:val="20"/>
                </w:rPr>
                <w:id w:val="-256598056"/>
                <w:placeholder>
                  <w:docPart w:val="83218CBCB52743F18D965A3D10F26686"/>
                </w:placeholder>
                <w:showingPlcHdr/>
              </w:sdtPr>
              <w:sdtContent>
                <w:r w:rsidR="00062C87" w:rsidRPr="00987203">
                  <w:rPr>
                    <w:rStyle w:val="PlaceholderText"/>
                    <w:sz w:val="20"/>
                    <w:szCs w:val="20"/>
                  </w:rPr>
                  <w:t>Click or tap here to enter text.</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77777777" w:rsidR="00062C87" w:rsidRPr="00987203" w:rsidRDefault="00000000" w:rsidP="00AC6117">
            <w:pPr>
              <w:rPr>
                <w:sz w:val="20"/>
                <w:szCs w:val="20"/>
              </w:rPr>
            </w:pPr>
            <w:sdt>
              <w:sdtPr>
                <w:rPr>
                  <w:sz w:val="20"/>
                  <w:szCs w:val="20"/>
                </w:rPr>
                <w:id w:val="419526380"/>
                <w:placeholder>
                  <w:docPart w:val="43A23DC7824F419282AE20EAEA0CFFCA"/>
                </w:placeholder>
                <w:showingPlcHdr/>
              </w:sdtPr>
              <w:sdtContent>
                <w:r w:rsidR="00062C87" w:rsidRPr="00987203">
                  <w:rPr>
                    <w:rStyle w:val="PlaceholderText"/>
                    <w:sz w:val="20"/>
                    <w:szCs w:val="20"/>
                  </w:rPr>
                  <w:t>Click or tap here to enter text.</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77777777" w:rsidR="00062C87" w:rsidRPr="00987203" w:rsidRDefault="00000000" w:rsidP="00AC6117">
            <w:pPr>
              <w:rPr>
                <w:sz w:val="20"/>
                <w:szCs w:val="20"/>
              </w:rPr>
            </w:pPr>
            <w:sdt>
              <w:sdtPr>
                <w:rPr>
                  <w:sz w:val="20"/>
                  <w:szCs w:val="20"/>
                </w:rPr>
                <w:id w:val="2022902622"/>
                <w:placeholder>
                  <w:docPart w:val="3986D9781E414F40977502EB0295A73B"/>
                </w:placeholder>
                <w:showingPlcHdr/>
              </w:sdtPr>
              <w:sdtContent>
                <w:r w:rsidR="00062C87" w:rsidRPr="00987203">
                  <w:rPr>
                    <w:rStyle w:val="PlaceholderText"/>
                    <w:sz w:val="20"/>
                    <w:szCs w:val="20"/>
                  </w:rPr>
                  <w:t>Click or tap here to enter text.</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77777777" w:rsidR="00062C87" w:rsidRPr="00987203" w:rsidRDefault="00000000" w:rsidP="00AC6117">
            <w:pPr>
              <w:rPr>
                <w:sz w:val="20"/>
                <w:szCs w:val="20"/>
              </w:rPr>
            </w:pPr>
            <w:sdt>
              <w:sdtPr>
                <w:rPr>
                  <w:sz w:val="20"/>
                  <w:szCs w:val="20"/>
                </w:rPr>
                <w:id w:val="-1425333420"/>
                <w:placeholder>
                  <w:docPart w:val="7E7D80B2525340B7BFB0C4E3DE081C30"/>
                </w:placeholder>
                <w:showingPlcHdr/>
              </w:sdtPr>
              <w:sdtContent>
                <w:r w:rsidR="00062C87" w:rsidRPr="00987203">
                  <w:rPr>
                    <w:rStyle w:val="PlaceholderText"/>
                    <w:sz w:val="20"/>
                    <w:szCs w:val="20"/>
                  </w:rPr>
                  <w:t>Click or tap here to enter text.</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77777777" w:rsidR="00062C87" w:rsidRPr="00987203" w:rsidRDefault="00000000" w:rsidP="00AC6117">
            <w:pPr>
              <w:rPr>
                <w:sz w:val="20"/>
                <w:szCs w:val="20"/>
              </w:rPr>
            </w:pPr>
            <w:sdt>
              <w:sdtPr>
                <w:rPr>
                  <w:sz w:val="20"/>
                  <w:szCs w:val="20"/>
                </w:rPr>
                <w:id w:val="-1416549673"/>
                <w:placeholder>
                  <w:docPart w:val="AF8E37AFBE89411B9A84D055075235E9"/>
                </w:placeholder>
              </w:sdtPr>
              <w:sdtContent>
                <w:r w:rsidR="00062C87" w:rsidRPr="00987203">
                  <w:rPr>
                    <w:rStyle w:val="PlaceholderText"/>
                    <w:sz w:val="20"/>
                    <w:szCs w:val="20"/>
                  </w:rPr>
                  <w:t>Click or tap here to enter text.</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p w14:paraId="0BFC3000" w14:textId="00D1A2C8" w:rsidR="00062C87" w:rsidRPr="00987203" w:rsidRDefault="00FC4EDF" w:rsidP="00FC4EDF">
            <w:pPr>
              <w:pStyle w:val="Heading1"/>
              <w:rPr>
                <w:rFonts w:ascii="Tahoma" w:hAnsi="Tahoma" w:cs="Tahoma"/>
                <w:sz w:val="20"/>
                <w:szCs w:val="20"/>
              </w:rPr>
            </w:pPr>
            <w:r w:rsidRPr="00FC4EDF">
              <w:rPr>
                <w:rFonts w:ascii="Tahoma" w:eastAsia="Tahoma" w:hAnsi="Tahoma" w:cs="Tahoma"/>
                <w:b w:val="0"/>
                <w:smallCaps w:val="0"/>
                <w:sz w:val="20"/>
                <w:szCs w:val="20"/>
                <w:lang w:val="en-US" w:eastAsia="en-US"/>
              </w:rPr>
              <w:t xml:space="preserve">To be responsible for delivering teaching and training with a therapeutic and supportive approach, wherever possible linking students learning activities through a methodology of practical skills and Therapeutic Education linked to the </w:t>
            </w:r>
            <w:proofErr w:type="gramStart"/>
            <w:r w:rsidRPr="00FC4EDF">
              <w:rPr>
                <w:rFonts w:ascii="Tahoma" w:eastAsia="Tahoma" w:hAnsi="Tahoma" w:cs="Tahoma"/>
                <w:b w:val="0"/>
                <w:smallCaps w:val="0"/>
                <w:sz w:val="20"/>
                <w:szCs w:val="20"/>
                <w:lang w:val="en-US" w:eastAsia="en-US"/>
              </w:rPr>
              <w:t>preparing</w:t>
            </w:r>
            <w:proofErr w:type="gramEnd"/>
            <w:r w:rsidRPr="00FC4EDF">
              <w:rPr>
                <w:rFonts w:ascii="Tahoma" w:eastAsia="Tahoma" w:hAnsi="Tahoma" w:cs="Tahoma"/>
                <w:b w:val="0"/>
                <w:smallCaps w:val="0"/>
                <w:sz w:val="20"/>
                <w:szCs w:val="20"/>
                <w:lang w:val="en-US" w:eastAsia="en-US"/>
              </w:rPr>
              <w:t xml:space="preserve"> for adulthood outcomes of independence, employment, community, health and wellbeing. To </w:t>
            </w:r>
            <w:r w:rsidRPr="00FC4EDF">
              <w:rPr>
                <w:rFonts w:ascii="Tahoma" w:eastAsia="Tahoma" w:hAnsi="Tahoma" w:cs="Tahoma"/>
                <w:b w:val="0"/>
                <w:smallCaps w:val="0"/>
                <w:sz w:val="20"/>
                <w:szCs w:val="20"/>
                <w:lang w:val="en-US" w:eastAsia="en-US"/>
              </w:rPr>
              <w:t>instill</w:t>
            </w:r>
            <w:r w:rsidRPr="00FC4EDF">
              <w:rPr>
                <w:rFonts w:ascii="Tahoma" w:eastAsia="Tahoma" w:hAnsi="Tahoma" w:cs="Tahoma"/>
                <w:b w:val="0"/>
                <w:smallCaps w:val="0"/>
                <w:sz w:val="20"/>
                <w:szCs w:val="20"/>
                <w:lang w:val="en-US" w:eastAsia="en-US"/>
              </w:rPr>
              <w:t xml:space="preserve"> enthusiasm and enjoyment into the learning process in such a way that can lead to increased self-esteem and enhanced engagement in learning. The post holder is to contribute to the whole life of the College always remembering that our core purpose is to improve the education and lives of our students and adults. </w:t>
            </w: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p w14:paraId="62EE5727" w14:textId="2BFF21D3"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work closely with their line manager in working with Support Workers and/or Tutor Assistants </w:t>
            </w:r>
          </w:p>
          <w:p w14:paraId="6C92650E" w14:textId="149DCFCF"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work closely with Support Workers and/or Tutor Assistants </w:t>
            </w:r>
            <w:proofErr w:type="gramStart"/>
            <w:r w:rsidRPr="00A90145">
              <w:rPr>
                <w:rFonts w:asciiTheme="minorHAnsi" w:hAnsiTheme="minorHAnsi" w:cstheme="minorHAnsi"/>
                <w:sz w:val="22"/>
                <w:szCs w:val="22"/>
              </w:rPr>
              <w:t>in order to</w:t>
            </w:r>
            <w:proofErr w:type="gramEnd"/>
            <w:r w:rsidRPr="00A90145">
              <w:rPr>
                <w:rFonts w:asciiTheme="minorHAnsi" w:hAnsiTheme="minorHAnsi" w:cstheme="minorHAnsi"/>
                <w:sz w:val="22"/>
                <w:szCs w:val="22"/>
              </w:rPr>
              <w:t xml:space="preserve"> facilitate delivery in relation to their session planning </w:t>
            </w:r>
          </w:p>
          <w:p w14:paraId="473BCDE2" w14:textId="1BC809DD"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deliver appropriate practical skills teaching and training as part of an agreed curriculum to students as allocated to you on your timetable which will be changed according to students learning needs requirements. </w:t>
            </w:r>
          </w:p>
          <w:p w14:paraId="5C56446C" w14:textId="01549CCE"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ensure that the students you are responsible for are appropriately supervised. </w:t>
            </w:r>
          </w:p>
          <w:p w14:paraId="748BBD98" w14:textId="565BE9F2"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support colleagues by sharing best practice </w:t>
            </w:r>
          </w:p>
          <w:p w14:paraId="2FF572AC" w14:textId="45F2CE18"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In line with the College’s education planning cycle: </w:t>
            </w:r>
          </w:p>
          <w:p w14:paraId="32B73AC2" w14:textId="77777777"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plan your activities for each timetabled session, producing regular written plans and setting goals and outcomes </w:t>
            </w:r>
          </w:p>
          <w:p w14:paraId="1A60D644" w14:textId="78496511"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assess and record the progress of students against targets, goals and outcomes delineated in the planning documents </w:t>
            </w:r>
          </w:p>
          <w:p w14:paraId="10089DB0" w14:textId="3A55E870"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report in writing/verbally on individual student progress at least once every half term during tutorials and for their annual reviews (and for other meetings/reviews as required) </w:t>
            </w:r>
          </w:p>
          <w:p w14:paraId="35961825" w14:textId="0CC2E0DD"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take an active part in designing and implementing assessment of student achievements. </w:t>
            </w:r>
          </w:p>
          <w:p w14:paraId="5A29078D" w14:textId="2B393F66"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embed appropriate functional skills teaching and learning into all sessions. </w:t>
            </w:r>
          </w:p>
          <w:p w14:paraId="73138A54" w14:textId="5505DE14"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be part of the on-going assessment of students’ learning needs and to make reasonable adjustments as required to minimise barriers to learning and achievement. </w:t>
            </w:r>
          </w:p>
          <w:p w14:paraId="4FAEBE1D" w14:textId="0544810F"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work with, assess and report on the abilities of applicant students visiting the College for assessment as required. </w:t>
            </w:r>
          </w:p>
          <w:p w14:paraId="7DC03347" w14:textId="1BE6F067"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familiarise with student background information, profile and risk assessment wherever reasonably possible and update student profiles as necessary </w:t>
            </w:r>
          </w:p>
          <w:p w14:paraId="517C1557" w14:textId="1AD5F745"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lastRenderedPageBreak/>
              <w:t xml:space="preserve">When working one to one, ensure that the student’s risk assessment has been carried out and that work undertaken with students is in line with the lone working policy as contained within the Trust’s protection policies. </w:t>
            </w:r>
          </w:p>
          <w:p w14:paraId="4AF4B9CA" w14:textId="77777777"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ensure attendance is recorded and any absence reported to the support an attendance team promptly. </w:t>
            </w:r>
          </w:p>
          <w:p w14:paraId="0DD9C76F" w14:textId="541529E3"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report any occurrences, serious occurrences or accidents promptly to the support and attendance team and write the report in the timeframe required. </w:t>
            </w:r>
          </w:p>
          <w:p w14:paraId="76C493C2" w14:textId="6C75F300"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provide cover for absent </w:t>
            </w:r>
            <w:proofErr w:type="gramStart"/>
            <w:r w:rsidRPr="00A90145">
              <w:rPr>
                <w:rFonts w:asciiTheme="minorHAnsi" w:hAnsiTheme="minorHAnsi" w:cstheme="minorHAnsi"/>
                <w:sz w:val="22"/>
                <w:szCs w:val="22"/>
              </w:rPr>
              <w:t>colleagues</w:t>
            </w:r>
            <w:proofErr w:type="gramEnd"/>
            <w:r w:rsidRPr="00A90145">
              <w:rPr>
                <w:rFonts w:asciiTheme="minorHAnsi" w:hAnsiTheme="minorHAnsi" w:cstheme="minorHAnsi"/>
                <w:sz w:val="22"/>
                <w:szCs w:val="22"/>
              </w:rPr>
              <w:t xml:space="preserve"> when necessary, as reasonably requested. </w:t>
            </w:r>
          </w:p>
          <w:p w14:paraId="6E6580A5" w14:textId="63B14B97"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be responsible for the delivery of individual specialist training to students. </w:t>
            </w:r>
          </w:p>
          <w:p w14:paraId="47052DDB" w14:textId="5AEA9123"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deliver the educational remit to students as define by the Quality Assurance Framework of the College. </w:t>
            </w:r>
          </w:p>
          <w:p w14:paraId="2CBD0466" w14:textId="5F6C3F86"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carry out the role of Tutor with an understanding of complexity and diversity of students and their support needs. </w:t>
            </w:r>
          </w:p>
          <w:p w14:paraId="6A5E8EB9" w14:textId="3158E813"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Contribute effectively to the transition process out of college to ensure all young people are ready and have positive destinations and outcomes </w:t>
            </w:r>
          </w:p>
          <w:p w14:paraId="48964EF6" w14:textId="3DD522E7" w:rsidR="0061232B" w:rsidRPr="00A90145" w:rsidRDefault="0061232B"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engage with the education, health, and care plan (EHCP) process ensuring reports are completed within set timescales and contribute to EHCP annual reviews </w:t>
            </w:r>
          </w:p>
          <w:p w14:paraId="6448A395" w14:textId="752D2435" w:rsidR="00DB0F2D" w:rsidRPr="00A90145" w:rsidRDefault="00DB0F2D"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take responsibility for specific aspects, projects or tasks as agreed with the Head of Education that will contribute to the success of students and the college </w:t>
            </w:r>
          </w:p>
          <w:p w14:paraId="4DD46E0B" w14:textId="77777777" w:rsidR="00DB0F2D" w:rsidRPr="00A90145" w:rsidRDefault="00DB0F2D" w:rsidP="00A90145">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To have responsibility for ensuring that cover for sessions in the event of absence is planned </w:t>
            </w:r>
            <w:proofErr w:type="gramStart"/>
            <w:r w:rsidRPr="00A90145">
              <w:rPr>
                <w:rFonts w:asciiTheme="minorHAnsi" w:hAnsiTheme="minorHAnsi" w:cstheme="minorHAnsi"/>
                <w:sz w:val="22"/>
                <w:szCs w:val="22"/>
              </w:rPr>
              <w:t>including</w:t>
            </w:r>
            <w:proofErr w:type="gramEnd"/>
            <w:r w:rsidRPr="00A90145">
              <w:rPr>
                <w:rFonts w:asciiTheme="minorHAnsi" w:hAnsiTheme="minorHAnsi" w:cstheme="minorHAnsi"/>
                <w:sz w:val="22"/>
                <w:szCs w:val="22"/>
              </w:rPr>
              <w:t xml:space="preserve"> preparation, paperwork, and resources in place in the tutor folder, agreed with the Head of Education and shared with the cover tutor/tutor assistant </w:t>
            </w:r>
          </w:p>
          <w:p w14:paraId="47E716E2" w14:textId="1432D7E8" w:rsidR="00062C87" w:rsidRPr="00524056" w:rsidRDefault="00DB0F2D" w:rsidP="0061232B">
            <w:pPr>
              <w:pStyle w:val="ListParagraph"/>
              <w:numPr>
                <w:ilvl w:val="0"/>
                <w:numId w:val="20"/>
              </w:numPr>
              <w:autoSpaceDE/>
              <w:autoSpaceDN/>
              <w:spacing w:before="30" w:after="30"/>
              <w:contextualSpacing/>
              <w:rPr>
                <w:rFonts w:asciiTheme="minorHAnsi" w:hAnsiTheme="minorHAnsi" w:cstheme="minorHAnsi"/>
                <w:sz w:val="22"/>
                <w:szCs w:val="22"/>
              </w:rPr>
            </w:pPr>
            <w:r w:rsidRPr="00A90145">
              <w:rPr>
                <w:rFonts w:asciiTheme="minorHAnsi" w:hAnsiTheme="minorHAnsi" w:cstheme="minorHAnsi"/>
                <w:sz w:val="22"/>
                <w:szCs w:val="22"/>
              </w:rPr>
              <w:t xml:space="preserve">In the event of illness ensure that the tutor folder is available for cover staff and is up to date and maintained in a central location. This may include keys for locked cupboards where resources are held, student portfolios, cover lesson plans and equipment </w:t>
            </w:r>
          </w:p>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w:t>
            </w:r>
            <w:proofErr w:type="spellStart"/>
            <w:r w:rsidRPr="00987203">
              <w:rPr>
                <w:color w:val="000000" w:themeColor="text1"/>
                <w:sz w:val="20"/>
                <w:szCs w:val="20"/>
              </w:rPr>
              <w:t>organisations</w:t>
            </w:r>
            <w:proofErr w:type="spellEnd"/>
            <w:r w:rsidRPr="00987203">
              <w:rPr>
                <w:color w:val="000000" w:themeColor="text1"/>
                <w:sz w:val="20"/>
                <w:szCs w:val="20"/>
              </w:rPr>
              <w:t xml:space="preserve">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p w14:paraId="469A8AF5" w14:textId="15986C12" w:rsidR="00BC0CD5" w:rsidRDefault="00EE1702" w:rsidP="00EE1702">
            <w:pPr>
              <w:pStyle w:val="ListBullet"/>
              <w:numPr>
                <w:ilvl w:val="0"/>
                <w:numId w:val="0"/>
              </w:numPr>
              <w:ind w:left="360" w:hanging="360"/>
              <w:rPr>
                <w:rFonts w:cstheme="minorHAnsi"/>
                <w:b/>
                <w:bCs/>
                <w:sz w:val="22"/>
                <w:szCs w:val="22"/>
              </w:rPr>
            </w:pPr>
            <w:r w:rsidRPr="00EE1702">
              <w:rPr>
                <w:rFonts w:cstheme="minorHAnsi"/>
                <w:b/>
                <w:bCs/>
                <w:sz w:val="22"/>
                <w:szCs w:val="22"/>
              </w:rPr>
              <w:t>Essential</w:t>
            </w:r>
            <w:r w:rsidR="007E62FD">
              <w:rPr>
                <w:rFonts w:cstheme="minorHAnsi"/>
                <w:b/>
                <w:bCs/>
                <w:sz w:val="22"/>
                <w:szCs w:val="22"/>
              </w:rPr>
              <w:t xml:space="preserve"> Knowledge</w:t>
            </w:r>
            <w:r>
              <w:rPr>
                <w:rFonts w:cstheme="minorHAnsi"/>
                <w:b/>
                <w:bCs/>
                <w:sz w:val="22"/>
                <w:szCs w:val="22"/>
              </w:rPr>
              <w:t>:</w:t>
            </w:r>
          </w:p>
          <w:p w14:paraId="3DE19047" w14:textId="5E5CE6FC" w:rsidR="00126E1D" w:rsidRPr="00126E1D" w:rsidRDefault="00126E1D" w:rsidP="008C52CA">
            <w:pPr>
              <w:pStyle w:val="ListBullet"/>
              <w:numPr>
                <w:ilvl w:val="0"/>
                <w:numId w:val="21"/>
              </w:numPr>
              <w:rPr>
                <w:rFonts w:cstheme="minorHAnsi"/>
                <w:sz w:val="22"/>
                <w:szCs w:val="22"/>
              </w:rPr>
            </w:pPr>
            <w:r w:rsidRPr="00126E1D">
              <w:rPr>
                <w:rFonts w:cstheme="minorHAnsi"/>
                <w:sz w:val="22"/>
                <w:szCs w:val="22"/>
              </w:rPr>
              <w:t>Understanding of effective utilisation of resources</w:t>
            </w:r>
          </w:p>
          <w:p w14:paraId="5BCECADA" w14:textId="77777777" w:rsidR="00126E1D" w:rsidRPr="00126E1D" w:rsidRDefault="00126E1D" w:rsidP="008C52CA">
            <w:pPr>
              <w:pStyle w:val="ListBullet"/>
              <w:numPr>
                <w:ilvl w:val="0"/>
                <w:numId w:val="21"/>
              </w:numPr>
              <w:rPr>
                <w:rFonts w:cstheme="minorHAnsi"/>
                <w:sz w:val="22"/>
                <w:szCs w:val="22"/>
              </w:rPr>
            </w:pPr>
            <w:r w:rsidRPr="00126E1D">
              <w:rPr>
                <w:rFonts w:cstheme="minorHAnsi"/>
                <w:sz w:val="22"/>
                <w:szCs w:val="22"/>
              </w:rPr>
              <w:t>Knowledge of the range of different types of learning difficulties and disabilities</w:t>
            </w:r>
          </w:p>
          <w:p w14:paraId="751289E3" w14:textId="77777777" w:rsidR="00126E1D" w:rsidRPr="00126E1D" w:rsidRDefault="00126E1D" w:rsidP="008C52CA">
            <w:pPr>
              <w:pStyle w:val="ListBullet"/>
              <w:numPr>
                <w:ilvl w:val="0"/>
                <w:numId w:val="21"/>
              </w:numPr>
              <w:rPr>
                <w:rFonts w:cstheme="minorHAnsi"/>
                <w:sz w:val="22"/>
                <w:szCs w:val="22"/>
              </w:rPr>
            </w:pPr>
            <w:r w:rsidRPr="00126E1D">
              <w:rPr>
                <w:rFonts w:cstheme="minorHAnsi"/>
                <w:sz w:val="22"/>
                <w:szCs w:val="22"/>
              </w:rPr>
              <w:t>Knowledge and understanding of the needs of students with personal care and medical needs</w:t>
            </w:r>
          </w:p>
          <w:p w14:paraId="5120B36D" w14:textId="77777777" w:rsidR="00126E1D" w:rsidRDefault="00126E1D" w:rsidP="008C52CA">
            <w:pPr>
              <w:pStyle w:val="ListBullet"/>
              <w:numPr>
                <w:ilvl w:val="0"/>
                <w:numId w:val="21"/>
              </w:numPr>
              <w:rPr>
                <w:rFonts w:cstheme="minorHAnsi"/>
                <w:sz w:val="22"/>
                <w:szCs w:val="22"/>
              </w:rPr>
            </w:pPr>
            <w:r w:rsidRPr="00126E1D">
              <w:rPr>
                <w:rFonts w:cstheme="minorHAnsi"/>
                <w:sz w:val="22"/>
                <w:szCs w:val="22"/>
              </w:rPr>
              <w:t>Knowledge and understanding of child/adult protection best practice and the procedures to follow in th</w:t>
            </w:r>
            <w:r>
              <w:rPr>
                <w:rFonts w:cstheme="minorHAnsi"/>
                <w:sz w:val="22"/>
                <w:szCs w:val="22"/>
              </w:rPr>
              <w:t xml:space="preserve">e </w:t>
            </w:r>
          </w:p>
          <w:p w14:paraId="01A567C8" w14:textId="64BEECC8" w:rsidR="00126E1D" w:rsidRPr="00126E1D" w:rsidRDefault="00126E1D" w:rsidP="008C52CA">
            <w:pPr>
              <w:pStyle w:val="ListBullet"/>
              <w:numPr>
                <w:ilvl w:val="0"/>
                <w:numId w:val="21"/>
              </w:numPr>
              <w:rPr>
                <w:rFonts w:cstheme="minorHAnsi"/>
                <w:sz w:val="22"/>
                <w:szCs w:val="22"/>
              </w:rPr>
            </w:pPr>
            <w:r w:rsidRPr="00126E1D">
              <w:rPr>
                <w:rFonts w:cstheme="minorHAnsi"/>
                <w:sz w:val="22"/>
                <w:szCs w:val="22"/>
              </w:rPr>
              <w:t>event of</w:t>
            </w:r>
            <w:r>
              <w:rPr>
                <w:rFonts w:cstheme="minorHAnsi"/>
                <w:sz w:val="22"/>
                <w:szCs w:val="22"/>
              </w:rPr>
              <w:t xml:space="preserve"> </w:t>
            </w:r>
            <w:r w:rsidRPr="00126E1D">
              <w:rPr>
                <w:rFonts w:cstheme="minorHAnsi"/>
                <w:sz w:val="22"/>
                <w:szCs w:val="22"/>
              </w:rPr>
              <w:t>an allegation of abuse.</w:t>
            </w:r>
          </w:p>
          <w:p w14:paraId="1DFA3BD3" w14:textId="77777777" w:rsidR="00126E1D" w:rsidRDefault="00126E1D" w:rsidP="008C52CA">
            <w:pPr>
              <w:pStyle w:val="ListBullet"/>
              <w:numPr>
                <w:ilvl w:val="0"/>
                <w:numId w:val="21"/>
              </w:numPr>
              <w:rPr>
                <w:rFonts w:cstheme="minorHAnsi"/>
                <w:sz w:val="22"/>
                <w:szCs w:val="22"/>
              </w:rPr>
            </w:pPr>
            <w:r w:rsidRPr="00126E1D">
              <w:rPr>
                <w:rFonts w:cstheme="minorHAnsi"/>
                <w:sz w:val="22"/>
                <w:szCs w:val="22"/>
              </w:rPr>
              <w:t>Willingness to maintain and update personal specialist skills and knowledge through engaging with</w:t>
            </w:r>
            <w:r>
              <w:rPr>
                <w:rFonts w:cstheme="minorHAnsi"/>
                <w:sz w:val="22"/>
                <w:szCs w:val="22"/>
              </w:rPr>
              <w:t xml:space="preserve"> </w:t>
            </w:r>
          </w:p>
          <w:p w14:paraId="1FD2B771" w14:textId="77777777" w:rsidR="00EE1702" w:rsidRDefault="00126E1D" w:rsidP="008C52CA">
            <w:pPr>
              <w:pStyle w:val="ListBullet"/>
              <w:numPr>
                <w:ilvl w:val="0"/>
                <w:numId w:val="21"/>
              </w:numPr>
              <w:rPr>
                <w:rFonts w:cstheme="minorHAnsi"/>
                <w:sz w:val="22"/>
                <w:szCs w:val="22"/>
              </w:rPr>
            </w:pPr>
            <w:r w:rsidRPr="00126E1D">
              <w:rPr>
                <w:rFonts w:cstheme="minorHAnsi"/>
                <w:sz w:val="22"/>
                <w:szCs w:val="22"/>
              </w:rPr>
              <w:t>A</w:t>
            </w:r>
            <w:r w:rsidRPr="00126E1D">
              <w:rPr>
                <w:rFonts w:cstheme="minorHAnsi"/>
                <w:sz w:val="22"/>
                <w:szCs w:val="22"/>
              </w:rPr>
              <w:t>ppropriate</w:t>
            </w:r>
            <w:r>
              <w:rPr>
                <w:rFonts w:cstheme="minorHAnsi"/>
                <w:sz w:val="22"/>
                <w:szCs w:val="22"/>
              </w:rPr>
              <w:t xml:space="preserve"> </w:t>
            </w:r>
            <w:r w:rsidRPr="00126E1D">
              <w:rPr>
                <w:rFonts w:cstheme="minorHAnsi"/>
                <w:sz w:val="22"/>
                <w:szCs w:val="22"/>
              </w:rPr>
              <w:t>professional development activities and training</w:t>
            </w:r>
          </w:p>
          <w:p w14:paraId="3CF9EBFF" w14:textId="77777777" w:rsidR="00925652" w:rsidRDefault="00925652" w:rsidP="00925652">
            <w:pPr>
              <w:pStyle w:val="ListBullet"/>
              <w:numPr>
                <w:ilvl w:val="0"/>
                <w:numId w:val="0"/>
              </w:numPr>
              <w:ind w:left="360" w:hanging="360"/>
              <w:rPr>
                <w:rFonts w:cstheme="minorHAnsi"/>
                <w:sz w:val="22"/>
                <w:szCs w:val="22"/>
              </w:rPr>
            </w:pPr>
          </w:p>
          <w:p w14:paraId="2DE990D9" w14:textId="77777777" w:rsidR="008C52CA" w:rsidRDefault="00925652" w:rsidP="008C52CA">
            <w:pPr>
              <w:pStyle w:val="ListBullet"/>
              <w:numPr>
                <w:ilvl w:val="0"/>
                <w:numId w:val="0"/>
              </w:numPr>
              <w:ind w:left="360" w:hanging="360"/>
              <w:rPr>
                <w:rFonts w:cstheme="minorHAnsi"/>
                <w:b/>
                <w:bCs/>
                <w:sz w:val="22"/>
                <w:szCs w:val="22"/>
              </w:rPr>
            </w:pPr>
            <w:r w:rsidRPr="00925652">
              <w:rPr>
                <w:rFonts w:cstheme="minorHAnsi"/>
                <w:b/>
                <w:bCs/>
                <w:sz w:val="22"/>
                <w:szCs w:val="22"/>
              </w:rPr>
              <w:t>Essential Skills and Abilities</w:t>
            </w:r>
            <w:r>
              <w:rPr>
                <w:rFonts w:cstheme="minorHAnsi"/>
                <w:b/>
                <w:bCs/>
                <w:sz w:val="22"/>
                <w:szCs w:val="22"/>
              </w:rPr>
              <w:t>:</w:t>
            </w:r>
          </w:p>
          <w:p w14:paraId="234246EF" w14:textId="77777777" w:rsidR="00925652" w:rsidRDefault="00A04561" w:rsidP="00A04561">
            <w:pPr>
              <w:pStyle w:val="ListBullet"/>
              <w:numPr>
                <w:ilvl w:val="0"/>
                <w:numId w:val="22"/>
              </w:numPr>
              <w:rPr>
                <w:rFonts w:cstheme="minorHAnsi"/>
                <w:sz w:val="22"/>
                <w:szCs w:val="22"/>
                <w:lang w:val="en-US"/>
              </w:rPr>
            </w:pPr>
            <w:r w:rsidRPr="00A04561">
              <w:rPr>
                <w:rFonts w:cstheme="minorHAnsi"/>
                <w:sz w:val="22"/>
                <w:szCs w:val="22"/>
                <w:lang w:val="en-US"/>
              </w:rPr>
              <w:t>Ability to apply all knowledge and understanding as listed in the “Knowledge” section above.</w:t>
            </w:r>
          </w:p>
          <w:p w14:paraId="7EFDEEB0" w14:textId="77777777" w:rsidR="00A04561" w:rsidRDefault="006D3DAF" w:rsidP="00A04561">
            <w:pPr>
              <w:pStyle w:val="ListBullet"/>
              <w:numPr>
                <w:ilvl w:val="0"/>
                <w:numId w:val="22"/>
              </w:numPr>
              <w:rPr>
                <w:rFonts w:cstheme="minorHAnsi"/>
                <w:sz w:val="22"/>
                <w:szCs w:val="22"/>
                <w:lang w:val="en-US"/>
              </w:rPr>
            </w:pPr>
            <w:r w:rsidRPr="006D3DAF">
              <w:rPr>
                <w:rFonts w:cstheme="minorHAnsi"/>
                <w:sz w:val="22"/>
                <w:szCs w:val="22"/>
                <w:lang w:val="en-US"/>
              </w:rPr>
              <w:t>Ability to communicate effectively with people using the service, the staff team and with partners such as family carers, tutors and management colleagues.</w:t>
            </w:r>
          </w:p>
          <w:p w14:paraId="25887930" w14:textId="77777777" w:rsidR="006D3DAF" w:rsidRDefault="006D3DAF" w:rsidP="00A04561">
            <w:pPr>
              <w:pStyle w:val="ListBullet"/>
              <w:numPr>
                <w:ilvl w:val="0"/>
                <w:numId w:val="22"/>
              </w:numPr>
              <w:rPr>
                <w:rFonts w:cstheme="minorHAnsi"/>
                <w:sz w:val="22"/>
                <w:szCs w:val="22"/>
                <w:lang w:val="en-US"/>
              </w:rPr>
            </w:pPr>
            <w:r w:rsidRPr="006D3DAF">
              <w:rPr>
                <w:rFonts w:cstheme="minorHAnsi"/>
                <w:sz w:val="22"/>
                <w:szCs w:val="22"/>
                <w:lang w:val="en-US"/>
              </w:rPr>
              <w:t xml:space="preserve">Ability to ensure the consistent use of Hesley Group’s </w:t>
            </w:r>
            <w:proofErr w:type="spellStart"/>
            <w:r w:rsidRPr="006D3DAF">
              <w:rPr>
                <w:rFonts w:cstheme="minorHAnsi"/>
                <w:sz w:val="22"/>
                <w:szCs w:val="22"/>
                <w:lang w:val="en-US"/>
              </w:rPr>
              <w:t>recognised</w:t>
            </w:r>
            <w:proofErr w:type="spellEnd"/>
            <w:r w:rsidRPr="006D3DAF">
              <w:rPr>
                <w:rFonts w:cstheme="minorHAnsi"/>
                <w:sz w:val="22"/>
                <w:szCs w:val="22"/>
                <w:lang w:val="en-US"/>
              </w:rPr>
              <w:t xml:space="preserve"> methodology to </w:t>
            </w:r>
            <w:proofErr w:type="gramStart"/>
            <w:r w:rsidRPr="006D3DAF">
              <w:rPr>
                <w:rFonts w:cstheme="minorHAnsi"/>
                <w:sz w:val="22"/>
                <w:szCs w:val="22"/>
                <w:lang w:val="en-US"/>
              </w:rPr>
              <w:t xml:space="preserve">person </w:t>
            </w:r>
            <w:proofErr w:type="spellStart"/>
            <w:proofErr w:type="gramEnd"/>
            <w:r w:rsidRPr="006D3DAF">
              <w:rPr>
                <w:rFonts w:cstheme="minorHAnsi"/>
                <w:sz w:val="22"/>
                <w:szCs w:val="22"/>
                <w:lang w:val="en-US"/>
              </w:rPr>
              <w:t>centred</w:t>
            </w:r>
            <w:proofErr w:type="spellEnd"/>
            <w:r w:rsidRPr="006D3DAF">
              <w:rPr>
                <w:rFonts w:cstheme="minorHAnsi"/>
                <w:sz w:val="22"/>
                <w:szCs w:val="22"/>
                <w:lang w:val="en-US"/>
              </w:rPr>
              <w:t xml:space="preserve"> support, positive </w:t>
            </w:r>
            <w:proofErr w:type="spellStart"/>
            <w:r w:rsidRPr="006D3DAF">
              <w:rPr>
                <w:rFonts w:cstheme="minorHAnsi"/>
                <w:sz w:val="22"/>
                <w:szCs w:val="22"/>
                <w:lang w:val="en-US"/>
              </w:rPr>
              <w:t>behaviour</w:t>
            </w:r>
            <w:proofErr w:type="spellEnd"/>
            <w:r w:rsidRPr="006D3DAF">
              <w:rPr>
                <w:rFonts w:cstheme="minorHAnsi"/>
                <w:sz w:val="22"/>
                <w:szCs w:val="22"/>
                <w:lang w:val="en-US"/>
              </w:rPr>
              <w:t xml:space="preserve"> support and reducing the need for the use of restrictive interventions (training delivered when in post).</w:t>
            </w:r>
          </w:p>
          <w:p w14:paraId="6ACF7CEE" w14:textId="77777777" w:rsidR="006D3DAF" w:rsidRDefault="006D3DAF" w:rsidP="00A04561">
            <w:pPr>
              <w:pStyle w:val="ListBullet"/>
              <w:numPr>
                <w:ilvl w:val="0"/>
                <w:numId w:val="22"/>
              </w:numPr>
              <w:rPr>
                <w:rFonts w:cstheme="minorHAnsi"/>
                <w:sz w:val="22"/>
                <w:szCs w:val="22"/>
                <w:lang w:val="en-US"/>
              </w:rPr>
            </w:pPr>
            <w:r w:rsidRPr="006D3DAF">
              <w:rPr>
                <w:rFonts w:cstheme="minorHAnsi"/>
                <w:sz w:val="22"/>
                <w:szCs w:val="22"/>
                <w:lang w:val="en-US"/>
              </w:rPr>
              <w:t>Ability to ensure Hesley Group policies, guidance and procedures are put into effect and provide assurance that these are being followed through effective management practice, e.g. monitoring, checking and auditing as required.</w:t>
            </w:r>
          </w:p>
          <w:p w14:paraId="29992FC4" w14:textId="77777777" w:rsidR="006D3DAF" w:rsidRDefault="00173978" w:rsidP="00A04561">
            <w:pPr>
              <w:pStyle w:val="ListBullet"/>
              <w:numPr>
                <w:ilvl w:val="0"/>
                <w:numId w:val="22"/>
              </w:numPr>
              <w:rPr>
                <w:rFonts w:cstheme="minorHAnsi"/>
                <w:sz w:val="22"/>
                <w:szCs w:val="22"/>
                <w:lang w:val="en-US"/>
              </w:rPr>
            </w:pPr>
            <w:r w:rsidRPr="00173978">
              <w:rPr>
                <w:rFonts w:cstheme="minorHAnsi"/>
                <w:sz w:val="22"/>
                <w:szCs w:val="22"/>
                <w:lang w:val="en-US"/>
              </w:rPr>
              <w:t>Outstanding interpersonal skills with an innate ability to bond with and gain the trust of young people and facilitate rich learning experiences</w:t>
            </w:r>
          </w:p>
          <w:p w14:paraId="3E58E24C" w14:textId="77777777" w:rsidR="00173978" w:rsidRDefault="00173978" w:rsidP="00A04561">
            <w:pPr>
              <w:pStyle w:val="ListBullet"/>
              <w:numPr>
                <w:ilvl w:val="0"/>
                <w:numId w:val="22"/>
              </w:numPr>
              <w:rPr>
                <w:rFonts w:cstheme="minorHAnsi"/>
                <w:sz w:val="22"/>
                <w:szCs w:val="22"/>
                <w:lang w:val="en-US"/>
              </w:rPr>
            </w:pPr>
            <w:r w:rsidRPr="00173978">
              <w:rPr>
                <w:rFonts w:cstheme="minorHAnsi"/>
                <w:sz w:val="22"/>
                <w:szCs w:val="22"/>
                <w:lang w:val="en-US"/>
              </w:rPr>
              <w:t xml:space="preserve">Exceptional analytical abilities with sound reviewing and recording skills </w:t>
            </w:r>
            <w:proofErr w:type="gramStart"/>
            <w:r w:rsidRPr="00173978">
              <w:rPr>
                <w:rFonts w:cstheme="minorHAnsi"/>
                <w:sz w:val="22"/>
                <w:szCs w:val="22"/>
                <w:lang w:val="en-US"/>
              </w:rPr>
              <w:t>in order to</w:t>
            </w:r>
            <w:proofErr w:type="gramEnd"/>
            <w:r w:rsidRPr="00173978">
              <w:rPr>
                <w:rFonts w:cstheme="minorHAnsi"/>
                <w:sz w:val="22"/>
                <w:szCs w:val="22"/>
                <w:lang w:val="en-US"/>
              </w:rPr>
              <w:t xml:space="preserve"> continually monitor and document student progress</w:t>
            </w:r>
          </w:p>
          <w:p w14:paraId="3650A3FC" w14:textId="77777777" w:rsidR="00173978" w:rsidRDefault="00BB1998" w:rsidP="00A04561">
            <w:pPr>
              <w:pStyle w:val="ListBullet"/>
              <w:numPr>
                <w:ilvl w:val="0"/>
                <w:numId w:val="22"/>
              </w:numPr>
              <w:rPr>
                <w:rFonts w:cstheme="minorHAnsi"/>
                <w:sz w:val="22"/>
                <w:szCs w:val="22"/>
                <w:lang w:val="en-US"/>
              </w:rPr>
            </w:pPr>
            <w:r w:rsidRPr="00BB1998">
              <w:rPr>
                <w:rFonts w:cstheme="minorHAnsi"/>
                <w:sz w:val="22"/>
                <w:szCs w:val="22"/>
                <w:lang w:val="en-US"/>
              </w:rPr>
              <w:t>Proven ability to deliver educational activities and specialist training in a manner which is stimulating, engaging, enjoyable and enthusiastic</w:t>
            </w:r>
          </w:p>
          <w:p w14:paraId="14FBAFB7" w14:textId="77777777" w:rsidR="00BB1998" w:rsidRDefault="00BB1998" w:rsidP="00A04561">
            <w:pPr>
              <w:pStyle w:val="ListBullet"/>
              <w:numPr>
                <w:ilvl w:val="0"/>
                <w:numId w:val="22"/>
              </w:numPr>
              <w:rPr>
                <w:rFonts w:cstheme="minorHAnsi"/>
                <w:sz w:val="22"/>
                <w:szCs w:val="22"/>
                <w:lang w:val="en-US"/>
              </w:rPr>
            </w:pPr>
            <w:r w:rsidRPr="00BB1998">
              <w:rPr>
                <w:rFonts w:cstheme="minorHAnsi"/>
                <w:sz w:val="22"/>
                <w:szCs w:val="22"/>
                <w:lang w:val="en-US"/>
              </w:rPr>
              <w:t>Clean driving license and ability and willingness to drive minibuses</w:t>
            </w:r>
          </w:p>
          <w:p w14:paraId="70814F47" w14:textId="77777777" w:rsidR="00BB1998" w:rsidRDefault="00BB1998" w:rsidP="00A04561">
            <w:pPr>
              <w:pStyle w:val="ListBullet"/>
              <w:numPr>
                <w:ilvl w:val="0"/>
                <w:numId w:val="22"/>
              </w:numPr>
              <w:rPr>
                <w:rFonts w:cstheme="minorHAnsi"/>
                <w:sz w:val="22"/>
                <w:szCs w:val="22"/>
                <w:lang w:val="en-US"/>
              </w:rPr>
            </w:pPr>
            <w:r w:rsidRPr="00BB1998">
              <w:rPr>
                <w:rFonts w:cstheme="minorHAnsi"/>
                <w:sz w:val="22"/>
                <w:szCs w:val="22"/>
                <w:lang w:val="en-US"/>
              </w:rPr>
              <w:t xml:space="preserve">Exceptional planning skills </w:t>
            </w:r>
            <w:proofErr w:type="gramStart"/>
            <w:r w:rsidRPr="00BB1998">
              <w:rPr>
                <w:rFonts w:cstheme="minorHAnsi"/>
                <w:sz w:val="22"/>
                <w:szCs w:val="22"/>
                <w:lang w:val="en-US"/>
              </w:rPr>
              <w:t>in order to</w:t>
            </w:r>
            <w:proofErr w:type="gramEnd"/>
            <w:r w:rsidRPr="00BB1998">
              <w:rPr>
                <w:rFonts w:cstheme="minorHAnsi"/>
                <w:sz w:val="22"/>
                <w:szCs w:val="22"/>
                <w:lang w:val="en-US"/>
              </w:rPr>
              <w:t xml:space="preserve"> devise educationally beneficial session activity plans relevant to each student’s Education Planning Cycle including goals, outcomes and other key points</w:t>
            </w:r>
          </w:p>
          <w:p w14:paraId="2079F433" w14:textId="77777777" w:rsidR="00BB1998" w:rsidRDefault="006844B8" w:rsidP="00A04561">
            <w:pPr>
              <w:pStyle w:val="ListBullet"/>
              <w:numPr>
                <w:ilvl w:val="0"/>
                <w:numId w:val="22"/>
              </w:numPr>
              <w:rPr>
                <w:rFonts w:cstheme="minorHAnsi"/>
                <w:sz w:val="22"/>
                <w:szCs w:val="22"/>
                <w:lang w:val="en-US"/>
              </w:rPr>
            </w:pPr>
            <w:r w:rsidRPr="006844B8">
              <w:rPr>
                <w:rFonts w:cstheme="minorHAnsi"/>
                <w:sz w:val="22"/>
                <w:szCs w:val="22"/>
                <w:lang w:val="en-US"/>
              </w:rPr>
              <w:t>Superb evaluating skills to perform initial assessments on students and to contribute to continual assessment of student learning needs and abilities</w:t>
            </w:r>
          </w:p>
          <w:p w14:paraId="54CC8284" w14:textId="77777777" w:rsidR="006844B8" w:rsidRDefault="006844B8" w:rsidP="00A04561">
            <w:pPr>
              <w:pStyle w:val="ListBullet"/>
              <w:numPr>
                <w:ilvl w:val="0"/>
                <w:numId w:val="22"/>
              </w:numPr>
              <w:rPr>
                <w:rFonts w:cstheme="minorHAnsi"/>
                <w:sz w:val="22"/>
                <w:szCs w:val="22"/>
                <w:lang w:val="en-US"/>
              </w:rPr>
            </w:pPr>
            <w:r w:rsidRPr="006844B8">
              <w:rPr>
                <w:rFonts w:cstheme="minorHAnsi"/>
                <w:sz w:val="22"/>
                <w:szCs w:val="22"/>
                <w:lang w:val="en-US"/>
              </w:rPr>
              <w:t>Ability to demonstrate a systematic and meticulous approach towards following guidelines such as session delivery plans, ensuring all key learning points are addressed and understood</w:t>
            </w:r>
          </w:p>
          <w:p w14:paraId="2690D08D" w14:textId="77777777" w:rsidR="006844B8" w:rsidRDefault="006844B8" w:rsidP="00A04561">
            <w:pPr>
              <w:pStyle w:val="ListBullet"/>
              <w:numPr>
                <w:ilvl w:val="0"/>
                <w:numId w:val="22"/>
              </w:numPr>
              <w:rPr>
                <w:rFonts w:cstheme="minorHAnsi"/>
                <w:sz w:val="22"/>
                <w:szCs w:val="22"/>
                <w:lang w:val="en-US"/>
              </w:rPr>
            </w:pPr>
            <w:r w:rsidRPr="006844B8">
              <w:rPr>
                <w:rFonts w:cstheme="minorHAnsi"/>
                <w:sz w:val="22"/>
                <w:szCs w:val="22"/>
                <w:lang w:val="en-US"/>
              </w:rPr>
              <w:t>Intellectual capacity to develop a deep understanding and appreciation of each student’s personal risk assessment, personal background, special needs and difficulties to improve the effectiveness of educational sessions</w:t>
            </w:r>
          </w:p>
          <w:p w14:paraId="7403FDB6" w14:textId="77777777" w:rsidR="006844B8" w:rsidRDefault="00217CA0" w:rsidP="00A04561">
            <w:pPr>
              <w:pStyle w:val="ListBullet"/>
              <w:numPr>
                <w:ilvl w:val="0"/>
                <w:numId w:val="22"/>
              </w:numPr>
              <w:rPr>
                <w:rFonts w:cstheme="minorHAnsi"/>
                <w:sz w:val="22"/>
                <w:szCs w:val="22"/>
                <w:lang w:val="en-US"/>
              </w:rPr>
            </w:pPr>
            <w:r w:rsidRPr="00217CA0">
              <w:rPr>
                <w:rFonts w:cstheme="minorHAnsi"/>
                <w:sz w:val="22"/>
                <w:szCs w:val="22"/>
                <w:lang w:val="en-US"/>
              </w:rPr>
              <w:t xml:space="preserve">Physical capacity to effectively deliver excellent teaching, learning and assessment whilst keeping all stakeholders including </w:t>
            </w:r>
            <w:proofErr w:type="gramStart"/>
            <w:r w:rsidRPr="00217CA0">
              <w:rPr>
                <w:rFonts w:cstheme="minorHAnsi"/>
                <w:sz w:val="22"/>
                <w:szCs w:val="22"/>
                <w:lang w:val="en-US"/>
              </w:rPr>
              <w:t>self,</w:t>
            </w:r>
            <w:proofErr w:type="gramEnd"/>
            <w:r w:rsidRPr="00217CA0">
              <w:rPr>
                <w:rFonts w:cstheme="minorHAnsi"/>
                <w:sz w:val="22"/>
                <w:szCs w:val="22"/>
                <w:lang w:val="en-US"/>
              </w:rPr>
              <w:t xml:space="preserve"> safe from harm</w:t>
            </w:r>
          </w:p>
          <w:p w14:paraId="6CC104AA" w14:textId="77777777" w:rsidR="00217CA0" w:rsidRDefault="00217CA0" w:rsidP="00217CA0">
            <w:pPr>
              <w:pStyle w:val="ListBullet"/>
              <w:numPr>
                <w:ilvl w:val="0"/>
                <w:numId w:val="0"/>
              </w:numPr>
              <w:ind w:left="720"/>
              <w:rPr>
                <w:rFonts w:cstheme="minorHAnsi"/>
                <w:sz w:val="22"/>
                <w:szCs w:val="22"/>
                <w:lang w:val="en-US"/>
              </w:rPr>
            </w:pPr>
          </w:p>
          <w:p w14:paraId="46322254" w14:textId="77777777" w:rsidR="00217CA0" w:rsidRDefault="00217CA0" w:rsidP="00217CA0">
            <w:pPr>
              <w:pStyle w:val="ListBullet"/>
              <w:numPr>
                <w:ilvl w:val="0"/>
                <w:numId w:val="0"/>
              </w:numPr>
              <w:ind w:left="360" w:hanging="360"/>
              <w:rPr>
                <w:rFonts w:cstheme="minorHAnsi"/>
                <w:b/>
                <w:bCs/>
                <w:sz w:val="22"/>
                <w:szCs w:val="22"/>
                <w:lang w:val="en-US"/>
              </w:rPr>
            </w:pPr>
            <w:r w:rsidRPr="00217CA0">
              <w:rPr>
                <w:rFonts w:cstheme="minorHAnsi"/>
                <w:b/>
                <w:bCs/>
                <w:sz w:val="22"/>
                <w:szCs w:val="22"/>
                <w:lang w:val="en-US"/>
              </w:rPr>
              <w:t>Essential Qualifications:</w:t>
            </w:r>
          </w:p>
          <w:p w14:paraId="2F61491F" w14:textId="77777777" w:rsidR="00217CA0" w:rsidRDefault="00AD7699" w:rsidP="00AD7699">
            <w:pPr>
              <w:pStyle w:val="ListBullet"/>
              <w:numPr>
                <w:ilvl w:val="0"/>
                <w:numId w:val="23"/>
              </w:numPr>
              <w:rPr>
                <w:rFonts w:cstheme="minorHAnsi"/>
                <w:sz w:val="22"/>
                <w:szCs w:val="22"/>
                <w:lang w:val="en-US"/>
              </w:rPr>
            </w:pPr>
            <w:r w:rsidRPr="00AD7699">
              <w:rPr>
                <w:rFonts w:cstheme="minorHAnsi"/>
                <w:sz w:val="22"/>
                <w:szCs w:val="22"/>
                <w:lang w:val="en-US"/>
              </w:rPr>
              <w:t>Qualified Teacher or working towards an appropriate qualification,</w:t>
            </w:r>
            <w:r w:rsidRPr="00AD7699">
              <w:rPr>
                <w:rFonts w:cstheme="minorHAnsi"/>
                <w:sz w:val="22"/>
                <w:szCs w:val="22"/>
                <w:lang w:val="en-US"/>
              </w:rPr>
              <w:t xml:space="preserve"> </w:t>
            </w:r>
            <w:r w:rsidRPr="00AD7699">
              <w:rPr>
                <w:rFonts w:cstheme="minorHAnsi"/>
                <w:sz w:val="22"/>
                <w:szCs w:val="22"/>
                <w:lang w:val="en-US"/>
              </w:rPr>
              <w:t>starting within 6 months of commencing in role, with a view to</w:t>
            </w:r>
            <w:r w:rsidRPr="00AD7699">
              <w:rPr>
                <w:rFonts w:cstheme="minorHAnsi"/>
                <w:sz w:val="22"/>
                <w:szCs w:val="22"/>
                <w:lang w:val="en-US"/>
              </w:rPr>
              <w:t xml:space="preserve"> </w:t>
            </w:r>
            <w:r w:rsidRPr="00AD7699">
              <w:rPr>
                <w:rFonts w:cstheme="minorHAnsi"/>
                <w:sz w:val="22"/>
                <w:szCs w:val="22"/>
                <w:lang w:val="en-US"/>
              </w:rPr>
              <w:t>completion within 2 years of starting.</w:t>
            </w:r>
          </w:p>
          <w:p w14:paraId="57261B56" w14:textId="77777777" w:rsidR="00F35546" w:rsidRDefault="00F35546" w:rsidP="00AD7699">
            <w:pPr>
              <w:pStyle w:val="ListBullet"/>
              <w:numPr>
                <w:ilvl w:val="0"/>
                <w:numId w:val="0"/>
              </w:numPr>
              <w:ind w:left="360" w:hanging="360"/>
              <w:rPr>
                <w:rFonts w:cstheme="minorHAnsi"/>
                <w:sz w:val="22"/>
                <w:szCs w:val="22"/>
                <w:lang w:val="en-US"/>
              </w:rPr>
            </w:pPr>
          </w:p>
          <w:p w14:paraId="273B8237" w14:textId="77777777" w:rsidR="00AD7699" w:rsidRDefault="00F35546" w:rsidP="00AD7699">
            <w:pPr>
              <w:pStyle w:val="ListBullet"/>
              <w:numPr>
                <w:ilvl w:val="0"/>
                <w:numId w:val="0"/>
              </w:numPr>
              <w:ind w:left="360" w:hanging="360"/>
              <w:rPr>
                <w:rFonts w:cstheme="minorHAnsi"/>
                <w:b/>
                <w:bCs/>
                <w:sz w:val="22"/>
                <w:szCs w:val="22"/>
                <w:lang w:val="en-US"/>
              </w:rPr>
            </w:pPr>
            <w:r w:rsidRPr="00F35546">
              <w:rPr>
                <w:rFonts w:cstheme="minorHAnsi"/>
                <w:b/>
                <w:bCs/>
                <w:sz w:val="22"/>
                <w:szCs w:val="22"/>
                <w:lang w:val="en-US"/>
              </w:rPr>
              <w:t>Essential Experience</w:t>
            </w:r>
            <w:r>
              <w:rPr>
                <w:rFonts w:cstheme="minorHAnsi"/>
                <w:b/>
                <w:bCs/>
                <w:sz w:val="22"/>
                <w:szCs w:val="22"/>
                <w:lang w:val="en-US"/>
              </w:rPr>
              <w:t>:</w:t>
            </w:r>
          </w:p>
          <w:p w14:paraId="23E9B491" w14:textId="77777777" w:rsidR="00F35546" w:rsidRDefault="00161D73" w:rsidP="00161D73">
            <w:pPr>
              <w:pStyle w:val="ListBullet"/>
              <w:numPr>
                <w:ilvl w:val="0"/>
                <w:numId w:val="23"/>
              </w:numPr>
              <w:rPr>
                <w:rFonts w:cstheme="minorHAnsi"/>
                <w:sz w:val="22"/>
                <w:szCs w:val="22"/>
                <w:lang w:val="en-US"/>
              </w:rPr>
            </w:pPr>
            <w:r w:rsidRPr="00161D73">
              <w:rPr>
                <w:rFonts w:cstheme="minorHAnsi"/>
                <w:sz w:val="22"/>
                <w:szCs w:val="22"/>
                <w:lang w:val="en-US"/>
              </w:rPr>
              <w:t>Significant experience of working with young people or</w:t>
            </w:r>
            <w:r>
              <w:rPr>
                <w:rFonts w:cstheme="minorHAnsi"/>
                <w:sz w:val="22"/>
                <w:szCs w:val="22"/>
                <w:lang w:val="en-US"/>
              </w:rPr>
              <w:t xml:space="preserve"> </w:t>
            </w:r>
            <w:r w:rsidRPr="00161D73">
              <w:rPr>
                <w:rFonts w:cstheme="minorHAnsi"/>
                <w:sz w:val="22"/>
                <w:szCs w:val="22"/>
                <w:lang w:val="en-US"/>
              </w:rPr>
              <w:t>adults with a range of severe, complex and moderate learnin</w:t>
            </w:r>
            <w:r>
              <w:rPr>
                <w:rFonts w:cstheme="minorHAnsi"/>
                <w:sz w:val="22"/>
                <w:szCs w:val="22"/>
                <w:lang w:val="en-US"/>
              </w:rPr>
              <w:t xml:space="preserve">g </w:t>
            </w:r>
            <w:r w:rsidRPr="00161D73">
              <w:rPr>
                <w:rFonts w:cstheme="minorHAnsi"/>
                <w:sz w:val="22"/>
                <w:szCs w:val="22"/>
                <w:lang w:val="en-US"/>
              </w:rPr>
              <w:t xml:space="preserve">difficulties and/or disabilities and or </w:t>
            </w:r>
            <w:proofErr w:type="spellStart"/>
            <w:r w:rsidRPr="00161D73">
              <w:rPr>
                <w:rFonts w:cstheme="minorHAnsi"/>
                <w:sz w:val="22"/>
                <w:szCs w:val="22"/>
                <w:lang w:val="en-US"/>
              </w:rPr>
              <w:t>behavioural</w:t>
            </w:r>
            <w:proofErr w:type="spellEnd"/>
            <w:r w:rsidRPr="00161D73">
              <w:rPr>
                <w:rFonts w:cstheme="minorHAnsi"/>
                <w:sz w:val="22"/>
                <w:szCs w:val="22"/>
                <w:lang w:val="en-US"/>
              </w:rPr>
              <w:t xml:space="preserve"> needs</w:t>
            </w:r>
          </w:p>
          <w:p w14:paraId="4BFF98E5" w14:textId="77777777" w:rsidR="00161D73" w:rsidRDefault="00D218AB" w:rsidP="00D218AB">
            <w:pPr>
              <w:pStyle w:val="ListBullet"/>
              <w:numPr>
                <w:ilvl w:val="0"/>
                <w:numId w:val="23"/>
              </w:numPr>
              <w:rPr>
                <w:rFonts w:cstheme="minorHAnsi"/>
                <w:sz w:val="22"/>
                <w:szCs w:val="22"/>
                <w:lang w:val="en-US"/>
              </w:rPr>
            </w:pPr>
            <w:r w:rsidRPr="00D218AB">
              <w:rPr>
                <w:rFonts w:cstheme="minorHAnsi"/>
                <w:sz w:val="22"/>
                <w:szCs w:val="22"/>
                <w:lang w:val="en-US"/>
              </w:rPr>
              <w:lastRenderedPageBreak/>
              <w:t>Experienced in providing personal care for students as and when required</w:t>
            </w:r>
          </w:p>
          <w:p w14:paraId="4239BE6C" w14:textId="77777777" w:rsidR="00D218AB" w:rsidRDefault="00D218AB" w:rsidP="00D218AB">
            <w:pPr>
              <w:pStyle w:val="ListBullet"/>
              <w:numPr>
                <w:ilvl w:val="0"/>
                <w:numId w:val="0"/>
              </w:numPr>
              <w:ind w:left="360" w:hanging="360"/>
              <w:rPr>
                <w:rFonts w:cstheme="minorHAnsi"/>
                <w:sz w:val="22"/>
                <w:szCs w:val="22"/>
                <w:lang w:val="en-US"/>
              </w:rPr>
            </w:pPr>
          </w:p>
          <w:p w14:paraId="70816734" w14:textId="77777777" w:rsidR="00D218AB" w:rsidRDefault="00D218AB" w:rsidP="00D218AB">
            <w:pPr>
              <w:pStyle w:val="ListBullet"/>
              <w:numPr>
                <w:ilvl w:val="0"/>
                <w:numId w:val="0"/>
              </w:numPr>
              <w:ind w:left="360" w:hanging="360"/>
              <w:rPr>
                <w:rFonts w:cstheme="minorHAnsi"/>
                <w:b/>
                <w:bCs/>
                <w:sz w:val="22"/>
                <w:szCs w:val="22"/>
                <w:lang w:val="en-US"/>
              </w:rPr>
            </w:pPr>
            <w:r>
              <w:rPr>
                <w:rFonts w:cstheme="minorHAnsi"/>
                <w:b/>
                <w:bCs/>
                <w:sz w:val="22"/>
                <w:szCs w:val="22"/>
                <w:lang w:val="en-US"/>
              </w:rPr>
              <w:t>Desirable:</w:t>
            </w:r>
          </w:p>
          <w:p w14:paraId="27620207" w14:textId="77777777" w:rsidR="00D218AB" w:rsidRDefault="000E18C7" w:rsidP="00D218AB">
            <w:pPr>
              <w:pStyle w:val="ListBullet"/>
              <w:numPr>
                <w:ilvl w:val="0"/>
                <w:numId w:val="24"/>
              </w:numPr>
              <w:rPr>
                <w:rFonts w:cstheme="minorHAnsi"/>
                <w:sz w:val="22"/>
                <w:szCs w:val="22"/>
                <w:lang w:val="en-US"/>
              </w:rPr>
            </w:pPr>
            <w:r w:rsidRPr="000E18C7">
              <w:rPr>
                <w:rFonts w:cstheme="minorHAnsi"/>
                <w:sz w:val="22"/>
                <w:szCs w:val="22"/>
                <w:lang w:val="en-US"/>
              </w:rPr>
              <w:t>Knowledge of strategies to enable optimal student participation</w:t>
            </w:r>
          </w:p>
          <w:p w14:paraId="2D3113DE" w14:textId="77777777" w:rsidR="000E18C7" w:rsidRDefault="000E18C7" w:rsidP="000E18C7">
            <w:pPr>
              <w:pStyle w:val="ListBullet"/>
              <w:numPr>
                <w:ilvl w:val="0"/>
                <w:numId w:val="24"/>
              </w:numPr>
              <w:rPr>
                <w:rFonts w:cstheme="minorHAnsi"/>
                <w:sz w:val="22"/>
                <w:szCs w:val="22"/>
                <w:lang w:val="en-US"/>
              </w:rPr>
            </w:pPr>
            <w:r w:rsidRPr="000E18C7">
              <w:rPr>
                <w:rFonts w:cstheme="minorHAnsi"/>
                <w:sz w:val="22"/>
                <w:szCs w:val="22"/>
                <w:lang w:val="en-US"/>
              </w:rPr>
              <w:t>An understanding of education health and care plans for young disabled people</w:t>
            </w:r>
          </w:p>
          <w:p w14:paraId="7A934DB9" w14:textId="46667B32" w:rsidR="000E18C7" w:rsidRPr="00A53788" w:rsidRDefault="00A53788" w:rsidP="00A53788">
            <w:pPr>
              <w:pStyle w:val="ListBullet"/>
              <w:numPr>
                <w:ilvl w:val="0"/>
                <w:numId w:val="24"/>
              </w:numPr>
              <w:rPr>
                <w:rFonts w:cstheme="minorHAnsi"/>
              </w:rPr>
            </w:pPr>
            <w:r w:rsidRPr="00A53788">
              <w:rPr>
                <w:rFonts w:cstheme="minorHAnsi"/>
                <w:sz w:val="22"/>
                <w:szCs w:val="22"/>
              </w:rPr>
              <w:t xml:space="preserve">Previous experience of working in a learning support/personal </w:t>
            </w:r>
            <w:r w:rsidRPr="00A53788">
              <w:rPr>
                <w:rFonts w:cstheme="minorHAnsi"/>
                <w:sz w:val="22"/>
                <w:szCs w:val="22"/>
                <w:lang w:val="en-US"/>
              </w:rPr>
              <w:t>care role in further education or specialist provision</w:t>
            </w: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 xml:space="preserve">operate in line with our Values and </w:t>
            </w:r>
            <w:proofErr w:type="spellStart"/>
            <w:r w:rsidRPr="00987203">
              <w:rPr>
                <w:sz w:val="20"/>
                <w:szCs w:val="20"/>
              </w:rPr>
              <w:t>Behaviour</w:t>
            </w:r>
            <w:proofErr w:type="spellEnd"/>
            <w:r w:rsidRPr="00987203">
              <w:rPr>
                <w:sz w:val="20"/>
                <w:szCs w:val="20"/>
              </w:rPr>
              <w:t xml:space="preserve"> Framework at all times</w:t>
            </w:r>
            <w:proofErr w:type="gramEnd"/>
            <w:r w:rsidRPr="00987203">
              <w:rPr>
                <w:sz w:val="20"/>
                <w:szCs w:val="20"/>
              </w:rPr>
              <w:t xml:space="preserve">. The framework outlines our core values and the </w:t>
            </w:r>
            <w:proofErr w:type="spellStart"/>
            <w:r w:rsidRPr="00987203">
              <w:rPr>
                <w:sz w:val="20"/>
                <w:szCs w:val="20"/>
              </w:rPr>
              <w:t>behaviours</w:t>
            </w:r>
            <w:proofErr w:type="spellEnd"/>
            <w:r w:rsidRPr="00987203">
              <w:rPr>
                <w:sz w:val="20"/>
                <w:szCs w:val="20"/>
              </w:rPr>
              <w:t xml:space="preserve">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6494ED30">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 xml:space="preserve">We put the people we support, families and colleagues at the </w:t>
            </w:r>
            <w:proofErr w:type="spellStart"/>
            <w:r w:rsidRPr="00987203">
              <w:rPr>
                <w:sz w:val="20"/>
                <w:szCs w:val="20"/>
              </w:rPr>
              <w:t>centre</w:t>
            </w:r>
            <w:proofErr w:type="spellEnd"/>
            <w:r w:rsidRPr="00987203">
              <w:rPr>
                <w:sz w:val="20"/>
                <w:szCs w:val="20"/>
              </w:rPr>
              <w:t xml:space="preserv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w:t>
            </w:r>
            <w:proofErr w:type="spellStart"/>
            <w:r w:rsidRPr="00987203">
              <w:rPr>
                <w:sz w:val="20"/>
                <w:szCs w:val="20"/>
              </w:rPr>
              <w:t>recognise</w:t>
            </w:r>
            <w:proofErr w:type="spellEnd"/>
            <w:r w:rsidRPr="00987203">
              <w:rPr>
                <w:sz w:val="20"/>
                <w:szCs w:val="20"/>
              </w:rPr>
              <w:t xml:space="preserv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0DD2A1C6">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6BD2B766">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17B3E7DD">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055E8F80">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t>Last Updated By:</w:t>
            </w:r>
          </w:p>
        </w:tc>
        <w:sdt>
          <w:sdtPr>
            <w:id w:val="-1449767960"/>
            <w:placeholder>
              <w:docPart w:val="56E2429C18AA4E6B8ACAE146750E3F88"/>
            </w:placeholder>
            <w:showingPlcHdr/>
          </w:sdtPr>
          <w:sdtContent>
            <w:tc>
              <w:tcPr>
                <w:tcW w:w="3674" w:type="dxa"/>
              </w:tcPr>
              <w:p w14:paraId="1D5B15B8" w14:textId="77777777" w:rsidR="00062C87" w:rsidRPr="00987203" w:rsidRDefault="00062C87" w:rsidP="00AC6117">
                <w:r w:rsidRPr="00987203">
                  <w:rPr>
                    <w:rStyle w:val="PlaceholderText"/>
                  </w:rPr>
                  <w:t>Click or tap here to enter text.</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howingPlcHdr/>
          </w:sdtPr>
          <w:sdtContent>
            <w:tc>
              <w:tcPr>
                <w:tcW w:w="2104" w:type="dxa"/>
              </w:tcPr>
              <w:p w14:paraId="6C6A60B2" w14:textId="77777777" w:rsidR="00062C87" w:rsidRPr="00987203" w:rsidRDefault="00062C87" w:rsidP="00AC6117">
                <w:r w:rsidRPr="00987203">
                  <w:rPr>
                    <w:rStyle w:val="PlaceholderText"/>
                  </w:rPr>
                  <w:t>Click or tap here to enter text.</w:t>
                </w:r>
              </w:p>
            </w:tc>
          </w:sdtContent>
        </w:sdt>
      </w:tr>
    </w:tbl>
    <w:p w14:paraId="54F46627" w14:textId="562EC4F0" w:rsidR="00A9170E" w:rsidRDefault="00A9170E" w:rsidP="00BC0CD5">
      <w:pPr>
        <w:rPr>
          <w:sz w:val="20"/>
          <w:szCs w:val="20"/>
        </w:rPr>
      </w:pPr>
    </w:p>
    <w:p w14:paraId="5B45FEBB" w14:textId="5A50151F" w:rsidR="00924406" w:rsidRDefault="00924406" w:rsidP="00BC0CD5">
      <w:pPr>
        <w:rPr>
          <w:sz w:val="20"/>
          <w:szCs w:val="20"/>
        </w:rPr>
      </w:pPr>
    </w:p>
    <w:p w14:paraId="4D47298B" w14:textId="3A4AFBB8" w:rsidR="00924406" w:rsidRDefault="00924406" w:rsidP="00BC0CD5">
      <w:pPr>
        <w:rPr>
          <w:sz w:val="20"/>
          <w:szCs w:val="20"/>
        </w:rPr>
      </w:pPr>
    </w:p>
    <w:p w14:paraId="69A7A738" w14:textId="47558172" w:rsidR="00924406" w:rsidRDefault="00924406" w:rsidP="00BC0CD5">
      <w:pPr>
        <w:rPr>
          <w:sz w:val="20"/>
          <w:szCs w:val="20"/>
        </w:rPr>
      </w:pPr>
    </w:p>
    <w:p w14:paraId="3653C151" w14:textId="46DEB081" w:rsidR="00924406" w:rsidRDefault="00924406" w:rsidP="00BC0CD5">
      <w:pPr>
        <w:rPr>
          <w:sz w:val="20"/>
          <w:szCs w:val="20"/>
        </w:rPr>
      </w:pPr>
    </w:p>
    <w:p w14:paraId="6826145C" w14:textId="20B9036A" w:rsidR="00924406" w:rsidRDefault="00924406" w:rsidP="00BC0CD5">
      <w:pPr>
        <w:rPr>
          <w:sz w:val="20"/>
          <w:szCs w:val="20"/>
        </w:rPr>
      </w:pPr>
    </w:p>
    <w:p w14:paraId="4B51E69E" w14:textId="5947DE7B" w:rsidR="002C14F1" w:rsidRPr="00A53788" w:rsidRDefault="002C14F1" w:rsidP="00A53788"/>
    <w:p w14:paraId="5C69B755" w14:textId="134DEE44" w:rsidR="00983DEA" w:rsidRPr="002C14F1" w:rsidRDefault="00983DEA" w:rsidP="002C14F1">
      <w:pPr>
        <w:pStyle w:val="ListParagraph"/>
        <w:rPr>
          <w:rFonts w:ascii="Tahoma" w:hAnsi="Tahoma" w:cs="Tahoma"/>
          <w:sz w:val="22"/>
          <w:szCs w:val="22"/>
        </w:rPr>
      </w:pPr>
    </w:p>
    <w:sectPr w:rsidR="00983DEA" w:rsidRPr="002C14F1"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BA6F" w14:textId="77777777" w:rsidR="008C693E" w:rsidRDefault="008C693E" w:rsidP="00D2437F">
      <w:r>
        <w:separator/>
      </w:r>
    </w:p>
  </w:endnote>
  <w:endnote w:type="continuationSeparator" w:id="0">
    <w:p w14:paraId="422A7219" w14:textId="77777777" w:rsidR="008C693E" w:rsidRDefault="008C693E"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6C4ADAFB"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B13C5C">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B13C5C">
      <w:rPr>
        <w:noProof/>
        <w:color w:val="323E4F" w:themeColor="text2" w:themeShade="BF"/>
        <w:sz w:val="20"/>
        <w:szCs w:val="24"/>
      </w:rPr>
      <w:t>3</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BE1B" w14:textId="77777777" w:rsidR="008C693E" w:rsidRDefault="008C693E" w:rsidP="00D2437F">
      <w:r>
        <w:separator/>
      </w:r>
    </w:p>
  </w:footnote>
  <w:footnote w:type="continuationSeparator" w:id="0">
    <w:p w14:paraId="409FD6DF" w14:textId="77777777" w:rsidR="008C693E" w:rsidRDefault="008C693E"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7DF33D1F"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987203">
      <w:rPr>
        <w:b/>
        <w:color w:val="231F20"/>
        <w:spacing w:val="-6"/>
        <w:sz w:val="20"/>
      </w:rPr>
      <w:t>Per 2.1.16</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E353D1"/>
    <w:multiLevelType w:val="hybridMultilevel"/>
    <w:tmpl w:val="579EB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4" w15:restartNumberingAfterBreak="0">
    <w:nsid w:val="2632761A"/>
    <w:multiLevelType w:val="hybridMultilevel"/>
    <w:tmpl w:val="2A20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1062C4"/>
    <w:multiLevelType w:val="hybridMultilevel"/>
    <w:tmpl w:val="767AA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42113B"/>
    <w:multiLevelType w:val="multilevel"/>
    <w:tmpl w:val="7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7311B"/>
    <w:multiLevelType w:val="hybridMultilevel"/>
    <w:tmpl w:val="4A80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35012"/>
    <w:multiLevelType w:val="hybridMultilevel"/>
    <w:tmpl w:val="34BE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C0873"/>
    <w:multiLevelType w:val="hybridMultilevel"/>
    <w:tmpl w:val="2B2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2F875D1"/>
    <w:multiLevelType w:val="multilevel"/>
    <w:tmpl w:val="5A90C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C10767"/>
    <w:multiLevelType w:val="hybridMultilevel"/>
    <w:tmpl w:val="94840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529ED"/>
    <w:multiLevelType w:val="hybridMultilevel"/>
    <w:tmpl w:val="951E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0244775">
    <w:abstractNumId w:val="17"/>
  </w:num>
  <w:num w:numId="2" w16cid:durableId="1439831597">
    <w:abstractNumId w:val="23"/>
  </w:num>
  <w:num w:numId="3" w16cid:durableId="1503348430">
    <w:abstractNumId w:val="19"/>
  </w:num>
  <w:num w:numId="4" w16cid:durableId="52506292">
    <w:abstractNumId w:val="12"/>
  </w:num>
  <w:num w:numId="5" w16cid:durableId="1072891908">
    <w:abstractNumId w:val="7"/>
  </w:num>
  <w:num w:numId="6" w16cid:durableId="888803405">
    <w:abstractNumId w:val="16"/>
  </w:num>
  <w:num w:numId="7" w16cid:durableId="750738141">
    <w:abstractNumId w:val="20"/>
  </w:num>
  <w:num w:numId="8" w16cid:durableId="109323319">
    <w:abstractNumId w:val="14"/>
  </w:num>
  <w:num w:numId="9" w16cid:durableId="1617372060">
    <w:abstractNumId w:val="1"/>
  </w:num>
  <w:num w:numId="10" w16cid:durableId="1829204897">
    <w:abstractNumId w:val="3"/>
  </w:num>
  <w:num w:numId="11" w16cid:durableId="1784225441">
    <w:abstractNumId w:val="15"/>
  </w:num>
  <w:num w:numId="12" w16cid:durableId="1455978399">
    <w:abstractNumId w:val="5"/>
  </w:num>
  <w:num w:numId="13" w16cid:durableId="1384910269">
    <w:abstractNumId w:val="0"/>
  </w:num>
  <w:num w:numId="14" w16cid:durableId="1543664452">
    <w:abstractNumId w:val="2"/>
  </w:num>
  <w:num w:numId="15" w16cid:durableId="2094274616">
    <w:abstractNumId w:val="21"/>
  </w:num>
  <w:num w:numId="16" w16cid:durableId="1722827113">
    <w:abstractNumId w:val="6"/>
  </w:num>
  <w:num w:numId="17" w16cid:durableId="1289781180">
    <w:abstractNumId w:val="13"/>
  </w:num>
  <w:num w:numId="18" w16cid:durableId="542255002">
    <w:abstractNumId w:val="18"/>
  </w:num>
  <w:num w:numId="19" w16cid:durableId="2079591743">
    <w:abstractNumId w:val="8"/>
  </w:num>
  <w:num w:numId="20" w16cid:durableId="1038164885">
    <w:abstractNumId w:val="11"/>
  </w:num>
  <w:num w:numId="21" w16cid:durableId="777801143">
    <w:abstractNumId w:val="9"/>
  </w:num>
  <w:num w:numId="22" w16cid:durableId="1141728687">
    <w:abstractNumId w:val="10"/>
  </w:num>
  <w:num w:numId="23" w16cid:durableId="1092241922">
    <w:abstractNumId w:val="22"/>
  </w:num>
  <w:num w:numId="24" w16cid:durableId="1211188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62C87"/>
    <w:rsid w:val="00065969"/>
    <w:rsid w:val="000E18C7"/>
    <w:rsid w:val="00126E1D"/>
    <w:rsid w:val="00161D02"/>
    <w:rsid w:val="00161D73"/>
    <w:rsid w:val="00166C52"/>
    <w:rsid w:val="00173978"/>
    <w:rsid w:val="00186B9C"/>
    <w:rsid w:val="001E1B0C"/>
    <w:rsid w:val="0020598E"/>
    <w:rsid w:val="00217CA0"/>
    <w:rsid w:val="002711E2"/>
    <w:rsid w:val="002C14F1"/>
    <w:rsid w:val="003C1C75"/>
    <w:rsid w:val="004500E3"/>
    <w:rsid w:val="00453DD9"/>
    <w:rsid w:val="005221F4"/>
    <w:rsid w:val="00524056"/>
    <w:rsid w:val="005309CC"/>
    <w:rsid w:val="0061232B"/>
    <w:rsid w:val="006252FC"/>
    <w:rsid w:val="00635795"/>
    <w:rsid w:val="00674770"/>
    <w:rsid w:val="006844B8"/>
    <w:rsid w:val="006B3EFA"/>
    <w:rsid w:val="006D3DAF"/>
    <w:rsid w:val="00707DE4"/>
    <w:rsid w:val="00716241"/>
    <w:rsid w:val="0074653C"/>
    <w:rsid w:val="007A0FF0"/>
    <w:rsid w:val="007E62FD"/>
    <w:rsid w:val="008C52CA"/>
    <w:rsid w:val="008C5DE2"/>
    <w:rsid w:val="008C693E"/>
    <w:rsid w:val="008D1F3E"/>
    <w:rsid w:val="008F3D6A"/>
    <w:rsid w:val="00900821"/>
    <w:rsid w:val="00924406"/>
    <w:rsid w:val="00925652"/>
    <w:rsid w:val="00983DEA"/>
    <w:rsid w:val="00987203"/>
    <w:rsid w:val="009B6759"/>
    <w:rsid w:val="009E2251"/>
    <w:rsid w:val="00A04561"/>
    <w:rsid w:val="00A267C7"/>
    <w:rsid w:val="00A5201B"/>
    <w:rsid w:val="00A53788"/>
    <w:rsid w:val="00A90145"/>
    <w:rsid w:val="00A9170E"/>
    <w:rsid w:val="00AB6F84"/>
    <w:rsid w:val="00AD7699"/>
    <w:rsid w:val="00AF1AFA"/>
    <w:rsid w:val="00B13C5C"/>
    <w:rsid w:val="00BA19A2"/>
    <w:rsid w:val="00BB1998"/>
    <w:rsid w:val="00BB7A3A"/>
    <w:rsid w:val="00BC0CD5"/>
    <w:rsid w:val="00C52B05"/>
    <w:rsid w:val="00D218AB"/>
    <w:rsid w:val="00D2437F"/>
    <w:rsid w:val="00DB0F2D"/>
    <w:rsid w:val="00DF38C3"/>
    <w:rsid w:val="00E22097"/>
    <w:rsid w:val="00E33E21"/>
    <w:rsid w:val="00E901F7"/>
    <w:rsid w:val="00EB1885"/>
    <w:rsid w:val="00EE0734"/>
    <w:rsid w:val="00EE1702"/>
    <w:rsid w:val="00EF1AE6"/>
    <w:rsid w:val="00EF7B99"/>
    <w:rsid w:val="00F2356D"/>
    <w:rsid w:val="00F35546"/>
    <w:rsid w:val="00F66ADE"/>
    <w:rsid w:val="00F9163E"/>
    <w:rsid w:val="00FC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34"/>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character" w:styleId="Strong">
    <w:name w:val="Strong"/>
    <w:basedOn w:val="DefaultParagraphFont"/>
    <w:uiPriority w:val="22"/>
    <w:qFormat/>
    <w:rsid w:val="00983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754">
      <w:bodyDiv w:val="1"/>
      <w:marLeft w:val="0"/>
      <w:marRight w:val="0"/>
      <w:marTop w:val="0"/>
      <w:marBottom w:val="0"/>
      <w:divBdr>
        <w:top w:val="none" w:sz="0" w:space="0" w:color="auto"/>
        <w:left w:val="none" w:sz="0" w:space="0" w:color="auto"/>
        <w:bottom w:val="none" w:sz="0" w:space="0" w:color="auto"/>
        <w:right w:val="none" w:sz="0" w:space="0" w:color="auto"/>
      </w:divBdr>
    </w:div>
    <w:div w:id="218636415">
      <w:bodyDiv w:val="1"/>
      <w:marLeft w:val="0"/>
      <w:marRight w:val="0"/>
      <w:marTop w:val="0"/>
      <w:marBottom w:val="0"/>
      <w:divBdr>
        <w:top w:val="none" w:sz="0" w:space="0" w:color="auto"/>
        <w:left w:val="none" w:sz="0" w:space="0" w:color="auto"/>
        <w:bottom w:val="none" w:sz="0" w:space="0" w:color="auto"/>
        <w:right w:val="none" w:sz="0" w:space="0" w:color="auto"/>
      </w:divBdr>
    </w:div>
    <w:div w:id="705713621">
      <w:bodyDiv w:val="1"/>
      <w:marLeft w:val="0"/>
      <w:marRight w:val="0"/>
      <w:marTop w:val="0"/>
      <w:marBottom w:val="0"/>
      <w:divBdr>
        <w:top w:val="none" w:sz="0" w:space="0" w:color="auto"/>
        <w:left w:val="none" w:sz="0" w:space="0" w:color="auto"/>
        <w:bottom w:val="none" w:sz="0" w:space="0" w:color="auto"/>
        <w:right w:val="none" w:sz="0" w:space="0" w:color="auto"/>
      </w:divBdr>
    </w:div>
    <w:div w:id="1384714650">
      <w:bodyDiv w:val="1"/>
      <w:marLeft w:val="0"/>
      <w:marRight w:val="0"/>
      <w:marTop w:val="0"/>
      <w:marBottom w:val="0"/>
      <w:divBdr>
        <w:top w:val="none" w:sz="0" w:space="0" w:color="auto"/>
        <w:left w:val="none" w:sz="0" w:space="0" w:color="auto"/>
        <w:bottom w:val="none" w:sz="0" w:space="0" w:color="auto"/>
        <w:right w:val="none" w:sz="0" w:space="0" w:color="auto"/>
      </w:divBdr>
    </w:div>
    <w:div w:id="20682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3B4F9C"/>
    <w:rsid w:val="004659B9"/>
    <w:rsid w:val="00E90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1779</Words>
  <Characters>9928</Characters>
  <Application>Microsoft Office Word</Application>
  <DocSecurity>0</DocSecurity>
  <Lines>320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Oliver Patching</cp:lastModifiedBy>
  <cp:revision>24</cp:revision>
  <dcterms:created xsi:type="dcterms:W3CDTF">2025-01-31T10:05:00Z</dcterms:created>
  <dcterms:modified xsi:type="dcterms:W3CDTF">2026-01-23T11:09:00Z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